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</w:rPr>
        <w:t>RAN WG4</w:t>
      </w:r>
      <w:r>
        <w:rPr>
          <w:b/>
          <w:sz w:val="24"/>
        </w:rPr>
        <w:t xml:space="preserve"> Meeting #9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b/>
          <w:i/>
          <w:sz w:val="28"/>
          <w:lang w:eastAsia="zh-CN"/>
        </w:rPr>
        <w:t>R4-</w:t>
      </w:r>
      <w:r>
        <w:rPr>
          <w:rFonts w:hint="eastAsia"/>
          <w:b/>
          <w:i/>
          <w:sz w:val="28"/>
          <w:lang w:eastAsia="zh-CN"/>
        </w:rPr>
        <w:t>1915432</w:t>
      </w:r>
      <w:bookmarkStart w:id="2" w:name="_GoBack"/>
      <w:bookmarkEnd w:id="2"/>
    </w:p>
    <w:p>
      <w:pPr>
        <w:pStyle w:val="83"/>
        <w:outlineLvl w:val="0"/>
        <w:rPr>
          <w:b/>
          <w:sz w:val="24"/>
        </w:rPr>
      </w:pPr>
      <w:r>
        <w:rPr>
          <w:rFonts w:hint="eastAsia" w:ascii="Arial" w:hAnsi="Arial" w:eastAsia="宋体" w:cs="Times New Roman"/>
          <w:b/>
          <w:bCs/>
          <w:sz w:val="24"/>
          <w:szCs w:val="24"/>
          <w:lang w:val="en-GB"/>
        </w:rPr>
        <w:t>Reno, USA, 18 - 22 November, 2019</w:t>
      </w:r>
    </w:p>
    <w:tbl>
      <w:tblPr>
        <w:tblStyle w:val="48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3"/>
              <w:spacing w:after="0"/>
              <w:jc w:val="right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3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0390</w:t>
            </w:r>
          </w:p>
        </w:tc>
        <w:tc>
          <w:tcPr>
            <w:tcW w:w="709" w:type="dxa"/>
          </w:tcPr>
          <w:p>
            <w:pPr>
              <w:pStyle w:val="83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>
            <w:pPr>
              <w:pStyle w:val="83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3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fldChar w:fldCharType="begin"/>
            </w:r>
            <w:r>
              <w:rPr>
                <w:b/>
                <w:sz w:val="32"/>
              </w:rPr>
              <w:instrText xml:space="preserve"> DOCPROPERTY  Version  \* MERGEFORMAT </w:instrText>
            </w:r>
            <w:r>
              <w:rPr>
                <w:b/>
                <w:sz w:val="32"/>
              </w:rPr>
              <w:fldChar w:fldCharType="separate"/>
            </w:r>
            <w:r>
              <w:rPr>
                <w:b/>
                <w:sz w:val="32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6</w:t>
            </w:r>
            <w:r>
              <w:rPr>
                <w:b/>
                <w:sz w:val="32"/>
              </w:rPr>
              <w:t>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1</w:t>
            </w:r>
            <w:r>
              <w:rPr>
                <w:b/>
                <w:sz w:val="32"/>
              </w:rPr>
              <w:t>.0</w:t>
            </w:r>
            <w:r>
              <w:rPr>
                <w:b/>
                <w:sz w:val="32"/>
              </w:rPr>
              <w:fldChar w:fldCharType="end"/>
            </w:r>
            <w:r>
              <w:rPr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3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3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126" w:type="dxa"/>
          </w:tcPr>
          <w:p>
            <w:pPr>
              <w:pStyle w:val="83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Correction to the starting point of the DRX cycle length interval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3"/>
              <w:spacing w:after="0"/>
              <w:ind w:left="100"/>
            </w:pPr>
            <w:r>
              <w:rPr>
                <w:rFonts w:hint="eastAsia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3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2019-</w:t>
            </w:r>
            <w:r>
              <w:rPr>
                <w:rFonts w:hint="eastAsia" w:eastAsia="宋体"/>
                <w:lang w:val="en-US" w:eastAsia="zh-CN"/>
              </w:rPr>
              <w:t>11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3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3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3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3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3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3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  The DRX cycle interval in the second row of Table 9.4.2.3-2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 shouldn</w:t>
            </w:r>
            <w:r>
              <w:rPr>
                <w:rFonts w:hint="default"/>
                <w:snapToGrid w:val="0"/>
                <w:highlight w:val="none"/>
                <w:lang w:val="en-US" w:eastAsia="zh-CN"/>
              </w:rPr>
              <w:t>’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>t overlap with the one in the first row. This is a mirror CR for R4-1913121.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Correct the starting point of the DRX cycle interval in Table 9.4.2.3-2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Table 9.4.2.3-2</w:t>
            </w:r>
            <w:r>
              <w:rPr>
                <w:rFonts w:hint="eastAsia"/>
                <w:snapToGrid w:val="0"/>
                <w:highlight w:val="none"/>
                <w:lang w:val="en-US" w:eastAsia="zh-CN"/>
              </w:rPr>
              <w:t xml:space="preserve"> remains wrong.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9.4.2.3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3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rFonts w:hint="default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3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3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3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>
      <w:pPr>
        <w:pStyle w:val="83"/>
        <w:spacing w:after="0"/>
        <w:rPr>
          <w:sz w:val="8"/>
          <w:szCs w:val="8"/>
        </w:rPr>
      </w:pPr>
    </w:p>
    <w:tbl>
      <w:tblPr>
        <w:tblStyle w:val="48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3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3"/>
              <w:spacing w:after="0"/>
              <w:ind w:left="100"/>
            </w:pPr>
          </w:p>
        </w:tc>
      </w:tr>
    </w:tbl>
    <w:p/>
    <w:p/>
    <w:p/>
    <w:p>
      <w:pPr>
        <w:spacing w:after="0"/>
      </w:pPr>
      <w:r>
        <w:br w:type="page"/>
      </w: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&lt;start of the change&gt;</w:t>
      </w:r>
    </w:p>
    <w:p>
      <w:pPr>
        <w:keepNext/>
        <w:keepLines/>
        <w:spacing w:before="120"/>
        <w:ind w:left="1418" w:hanging="1418"/>
        <w:outlineLvl w:val="3"/>
      </w:pPr>
      <w:r>
        <w:rPr>
          <w:rFonts w:ascii="Arial" w:hAnsi="Arial"/>
          <w:sz w:val="24"/>
        </w:rPr>
        <w:t>9.4.2.3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Requirements when DRX is used</w:t>
      </w:r>
    </w:p>
    <w:p>
      <w:pPr>
        <w:keepLines/>
        <w:tabs>
          <w:tab w:val="center" w:pos="4536"/>
          <w:tab w:val="right" w:pos="9072"/>
        </w:tabs>
      </w:pPr>
      <w:r>
        <w:rPr>
          <w:rFonts w:cs="v4.2.0"/>
        </w:rPr>
        <w:t xml:space="preserve">When DRX is in use and </w:t>
      </w:r>
      <w:r>
        <w:t>measurement gaps are configured</w:t>
      </w:r>
      <w:r>
        <w:rPr>
          <w:rFonts w:cs="v4.2.0"/>
          <w:lang w:eastAsia="zh-CN"/>
        </w:rPr>
        <w:t>,</w:t>
      </w:r>
      <w:r>
        <w:rPr>
          <w:rFonts w:cs="v4.2.0"/>
        </w:rPr>
        <w:t xml:space="preserve"> the UE shall be able to identify a new detectable E-UTRAN FDD cell within T</w:t>
      </w:r>
      <w:r>
        <w:rPr>
          <w:rFonts w:cs="v4.2.0"/>
          <w:vertAlign w:val="subscript"/>
        </w:rPr>
        <w:t>Identify, E-UTRAN FDD</w:t>
      </w:r>
      <w:r>
        <w:rPr>
          <w:rFonts w:cs="v4.2.0"/>
        </w:rPr>
        <w:t xml:space="preserve"> specified in Table 9.4.2.3-1.</w:t>
      </w:r>
    </w:p>
    <w:p>
      <w:pPr>
        <w:pStyle w:val="57"/>
      </w:pPr>
      <w:r>
        <w:t>Table 9.4.2.3-1: Requirement to identify a newly detectable E-UTRAN FDD cell</w:t>
      </w:r>
    </w:p>
    <w:tbl>
      <w:tblPr>
        <w:tblStyle w:val="48"/>
        <w:tblW w:w="7509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2699"/>
        <w:gridCol w:w="268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 length (s)</w:t>
            </w:r>
          </w:p>
        </w:tc>
        <w:tc>
          <w:tcPr>
            <w:tcW w:w="538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Identify, E-UTRAN FDD </w:t>
            </w:r>
            <w:r>
              <w:rPr>
                <w:rFonts w:ascii="Arial" w:hAnsi="Arial"/>
                <w:b/>
                <w:sz w:val="18"/>
              </w:rPr>
              <w:t>(s) (DRX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Gap period = 40 ms, 20 ms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Gap period = 80 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rPr>
                <w:rFonts w:hint="eastAsia"/>
              </w:rPr>
              <w:t>≤</w:t>
            </w:r>
            <w:r>
              <w:t>0.16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Non-DRX requirements in clause 9.4.2.2 apply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Non-DRX requirements in clause 9.4.2.2 apply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0.256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5.12*K (20*</w:t>
            </w:r>
            <w:r>
              <w:rPr>
                <w:rFonts w:cs="v4.2.0"/>
              </w:rPr>
              <w:t>CSSF</w:t>
            </w:r>
            <w:r>
              <w:rPr>
                <w:rFonts w:cs="v4.2.0"/>
                <w:vertAlign w:val="subscript"/>
              </w:rPr>
              <w:t>interRAT</w:t>
            </w:r>
            <w:r>
              <w:t>)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7.68*K (30*</w:t>
            </w:r>
            <w:r>
              <w:rPr>
                <w:rFonts w:cs="v4.2.0"/>
              </w:rPr>
              <w:t>CSSF</w:t>
            </w:r>
            <w:r>
              <w:rPr>
                <w:rFonts w:cs="v4.2.0"/>
                <w:vertAlign w:val="subscript"/>
              </w:rPr>
              <w:t>interRAT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0.32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6.4*K (20*</w:t>
            </w:r>
            <w:r>
              <w:rPr>
                <w:rFonts w:cs="v4.2.0"/>
              </w:rPr>
              <w:t>CSSF</w:t>
            </w:r>
            <w:r>
              <w:rPr>
                <w:rFonts w:cs="v4.2.0"/>
                <w:vertAlign w:val="subscript"/>
              </w:rPr>
              <w:t>interRAT</w:t>
            </w:r>
            <w:r>
              <w:t>)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rPr>
                <w:lang w:val="sv-SE"/>
              </w:rPr>
            </w:pPr>
            <w:r>
              <w:rPr>
                <w:lang w:val="sv-SE"/>
              </w:rPr>
              <w:t>7.68*K (24*</w:t>
            </w:r>
            <w:r>
              <w:rPr>
                <w:rFonts w:cs="v4.2.0"/>
              </w:rPr>
              <w:t>CSSF</w:t>
            </w:r>
            <w:r>
              <w:rPr>
                <w:rFonts w:cs="v4.2.0"/>
                <w:vertAlign w:val="subscript"/>
              </w:rPr>
              <w:t>interRAT</w:t>
            </w:r>
            <w:r>
              <w:rPr>
                <w:lang w:val="sv-SE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1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 xml:space="preserve">0.32&lt; DRX-cycle </w:t>
            </w:r>
            <w:r>
              <w:rPr>
                <w:rFonts w:hint="eastAsia"/>
              </w:rPr>
              <w:t>≤</w:t>
            </w:r>
            <w:r>
              <w:t>10.24</w:t>
            </w:r>
          </w:p>
        </w:tc>
        <w:tc>
          <w:tcPr>
            <w:tcW w:w="26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Note1 (20*</w:t>
            </w:r>
            <w:r>
              <w:rPr>
                <w:rFonts w:cs="v4.2.0"/>
              </w:rPr>
              <w:t>CSSF</w:t>
            </w:r>
            <w:r>
              <w:rPr>
                <w:rFonts w:cs="v4.2.0"/>
                <w:vertAlign w:val="subscript"/>
              </w:rPr>
              <w:t>interRAT</w:t>
            </w:r>
            <w:r>
              <w:t>)</w:t>
            </w:r>
          </w:p>
        </w:tc>
        <w:tc>
          <w:tcPr>
            <w:tcW w:w="26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</w:pPr>
            <w:r>
              <w:t>Note1 (20*</w:t>
            </w:r>
            <w:r>
              <w:rPr>
                <w:rFonts w:cs="v4.2.0"/>
              </w:rPr>
              <w:t>CSSF</w:t>
            </w:r>
            <w:r>
              <w:rPr>
                <w:rFonts w:cs="v4.2.0"/>
                <w:vertAlign w:val="subscript"/>
              </w:rPr>
              <w:t>interRAT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5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>The time depends on the DRX cycle length.</w:t>
            </w:r>
          </w:p>
          <w:p>
            <w:pPr>
              <w:keepNext/>
              <w:keepLines/>
              <w:spacing w:after="0"/>
              <w:ind w:left="851" w:hanging="851"/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</w:r>
            <w:r>
              <w:rPr>
                <w:rFonts w:cs="v4.2.0"/>
              </w:rPr>
              <w:t>CSSF</w:t>
            </w:r>
            <w:r>
              <w:rPr>
                <w:rFonts w:cs="v4.2.0"/>
                <w:vertAlign w:val="subscript"/>
              </w:rPr>
              <w:t>interRAT</w:t>
            </w:r>
            <w:r>
              <w:rPr>
                <w:rFonts w:ascii="Arial" w:hAnsi="Arial"/>
                <w:sz w:val="18"/>
              </w:rPr>
              <w:t xml:space="preserve"> is as defined in clause 9.4.2.2.</w:t>
            </w:r>
          </w:p>
        </w:tc>
      </w:tr>
    </w:tbl>
    <w:p/>
    <w:p>
      <w:pPr>
        <w:rPr>
          <w:lang w:eastAsia="zh-CN"/>
        </w:rPr>
      </w:pPr>
      <w:r>
        <w:t xml:space="preserve">When DRX is in use, the UE shall be capable of performing </w:t>
      </w:r>
      <w:r>
        <w:rPr>
          <w:rFonts w:cs="v4.2.0"/>
        </w:rPr>
        <w:t>NR – E-UTRAN</w:t>
      </w:r>
      <w:r>
        <w:t xml:space="preserve"> FDD RSRP, RSRQ, and RS-SINR measurements of at least 4 identified E-UTRAN FDD cells per E-UTRA FDD frequency layer during each layer 1 measurement period, for up to 7 E-UTRA FDD carrier frequency layers, and the UE physical layer shall be capable of reporting </w:t>
      </w:r>
      <w:r>
        <w:rPr>
          <w:rFonts w:cs="v4.2.0"/>
        </w:rPr>
        <w:t>NR – E-UTRAN</w:t>
      </w:r>
      <w:r>
        <w:t xml:space="preserve"> FDD RSRP, RSRQ, and RS-SINR measurements to higher layers with the measurement period </w:t>
      </w:r>
      <w:r>
        <w:rPr>
          <w:rFonts w:cs="Arial"/>
        </w:rPr>
        <w:t>T</w:t>
      </w:r>
      <w:r>
        <w:rPr>
          <w:rFonts w:cs="Arial"/>
          <w:vertAlign w:val="subscript"/>
        </w:rPr>
        <w:t>measure, E-UTRAN FDD</w:t>
      </w:r>
      <w:r>
        <w:t xml:space="preserve"> specified in Table 9.4.2.3-2.</w:t>
      </w:r>
    </w:p>
    <w:p>
      <w:pPr>
        <w:keepNext/>
        <w:keepLines/>
        <w:spacing w:before="60"/>
        <w:jc w:val="center"/>
      </w:pPr>
      <w:r>
        <w:rPr>
          <w:rFonts w:ascii="Arial" w:hAnsi="Arial"/>
          <w:b/>
        </w:rPr>
        <w:t>Table 9.4.2.3-2: Requirement to measure E-UTRAN FDD cells</w:t>
      </w:r>
    </w:p>
    <w:tbl>
      <w:tblPr>
        <w:tblStyle w:val="48"/>
        <w:tblW w:w="708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6"/>
        <w:gridCol w:w="44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DRX cycle length (s)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b/>
                <w:sz w:val="18"/>
              </w:rPr>
              <w:t>T</w:t>
            </w:r>
            <w:r>
              <w:rPr>
                <w:rFonts w:ascii="Arial" w:hAnsi="Arial"/>
                <w:b/>
                <w:sz w:val="18"/>
                <w:vertAlign w:val="subscript"/>
              </w:rPr>
              <w:t xml:space="preserve">measure, E-UTRAN FDD </w:t>
            </w:r>
            <w:r>
              <w:rPr>
                <w:rFonts w:ascii="Arial" w:hAnsi="Arial"/>
                <w:b/>
                <w:sz w:val="18"/>
              </w:rPr>
              <w:t xml:space="preserve">(s) (DRX cycles)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hint="eastAsia" w:ascii="Arial" w:hAnsi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>0.08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Non-DRX requirements in clause 9.4.2.2 apply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6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ind w:left="0"/>
              <w:jc w:val="center"/>
              <w:pPrChange w:id="0" w:author="Richie Leo (ZTE)" w:date="2019-09-27T10:06:36Z">
                <w:pPr>
                  <w:keepNext/>
                  <w:keepLines/>
                  <w:spacing w:after="0"/>
                  <w:ind w:left="720"/>
                </w:pPr>
              </w:pPrChange>
            </w:pPr>
            <w:del w:id="1" w:author="Richie Leo (ZTE)" w:date="2019-09-27T10:06:19Z">
              <w:r>
                <w:rPr>
                  <w:rFonts w:hint="default" w:ascii="Arial" w:hAnsi="Arial"/>
                  <w:sz w:val="18"/>
                  <w:lang w:val="en-US"/>
                </w:rPr>
                <w:delText>0</w:delText>
              </w:r>
            </w:del>
            <w:ins w:id="2" w:author="Richie Leo (ZTE)" w:date="2019-09-27T10:06:1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0</w:t>
              </w:r>
            </w:ins>
            <w:ins w:id="3" w:author="Richie Leo (ZTE)" w:date="2019-09-27T10:06:2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.08</w:t>
              </w:r>
            </w:ins>
            <w:r>
              <w:rPr>
                <w:rFonts w:ascii="Arial" w:hAnsi="Arial"/>
                <w:sz w:val="18"/>
              </w:rPr>
              <w:t xml:space="preserve">&lt; DRX-cycle </w:t>
            </w:r>
            <w:r>
              <w:rPr>
                <w:rFonts w:hint="eastAsia" w:ascii="Arial" w:hAnsi="Arial"/>
                <w:sz w:val="18"/>
              </w:rPr>
              <w:t>≤</w:t>
            </w:r>
            <w:r>
              <w:rPr>
                <w:rFonts w:ascii="Arial" w:hAnsi="Arial"/>
                <w:sz w:val="18"/>
              </w:rPr>
              <w:t>10.24</w:t>
            </w:r>
          </w:p>
        </w:tc>
        <w:tc>
          <w:tcPr>
            <w:tcW w:w="44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</w:pPr>
            <w:r>
              <w:rPr>
                <w:rFonts w:ascii="Arial" w:hAnsi="Arial"/>
                <w:sz w:val="18"/>
              </w:rPr>
              <w:t>Note1 (5*</w:t>
            </w:r>
            <w:r>
              <w:rPr>
                <w:rFonts w:cs="v4.2.0"/>
              </w:rPr>
              <w:t xml:space="preserve"> CSSF</w:t>
            </w:r>
            <w:r>
              <w:rPr>
                <w:rFonts w:cs="v4.2.0"/>
                <w:vertAlign w:val="subscript"/>
              </w:rPr>
              <w:t>interRAT</w:t>
            </w:r>
            <w:r>
              <w:rPr>
                <w:rFonts w:ascii="Arial" w:hAnsi="Arial"/>
                <w:sz w:val="18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</w:pPr>
            <w:r>
              <w:t>NOTE 1:</w:t>
            </w:r>
            <w:r>
              <w:tab/>
            </w:r>
            <w:r>
              <w:t>The time depends on the DRX cycle length.</w:t>
            </w:r>
          </w:p>
          <w:p>
            <w:pPr>
              <w:pStyle w:val="68"/>
            </w:pPr>
            <w:r>
              <w:t>NOTE 2:</w:t>
            </w:r>
            <w:r>
              <w:tab/>
            </w:r>
            <w:r>
              <w:rPr>
                <w:rFonts w:cs="v4.2.0"/>
              </w:rPr>
              <w:t>CSSF</w:t>
            </w:r>
            <w:r>
              <w:rPr>
                <w:rFonts w:cs="v4.2.0"/>
                <w:vertAlign w:val="subscript"/>
              </w:rPr>
              <w:t>interRAT</w:t>
            </w:r>
            <w:r>
              <w:t xml:space="preserve"> is as defined in clause 9.4.2.2.</w:t>
            </w:r>
          </w:p>
        </w:tc>
      </w:tr>
    </w:tbl>
    <w:p>
      <w:pPr>
        <w:rPr>
          <w:rFonts w:cs="v4.2.0"/>
        </w:rPr>
      </w:pPr>
    </w:p>
    <w:p>
      <w:pPr>
        <w:rPr>
          <w:rFonts w:cs="v4.2.0"/>
        </w:rPr>
      </w:pPr>
      <w:r>
        <w:rPr>
          <w:rFonts w:cs="v4.2.0"/>
        </w:rPr>
        <w:t>If higher layer filtering is used, an additional cell identification delay can be expected.</w:t>
      </w:r>
    </w:p>
    <w:p>
      <w:pPr>
        <w:rPr>
          <w:rFonts w:cs="v4.2.0"/>
        </w:rPr>
      </w:pPr>
      <w:r>
        <w:rPr>
          <w:rFonts w:cs="v4.2.0"/>
        </w:rPr>
        <w:t>The NR – E-UTRAN FDD RSRP measurement accuracy for all measured cells shall be as specified in clause 10.2.2. The NR – E-UTRAN FDD RSRQ measurement accuracy for all measured cells shall be as specified in clause 10.2.3. The NR – E-UTRAN FDD RS-SINR measurement accuracy for all measured cells shall be as specified in clause 10.2.5.</w:t>
      </w:r>
    </w:p>
    <w:p>
      <w:pPr>
        <w:rPr>
          <w:i/>
          <w:color w:val="0000FF"/>
          <w:lang w:eastAsia="zh-CN"/>
        </w:rPr>
      </w:pPr>
    </w:p>
    <w:p>
      <w:pPr>
        <w:rPr>
          <w:i/>
          <w:color w:val="0000FF"/>
          <w:lang w:eastAsia="zh-CN"/>
        </w:rPr>
      </w:pPr>
      <w:r>
        <w:rPr>
          <w:i/>
          <w:color w:val="0000FF"/>
          <w:lang w:eastAsia="zh-CN"/>
        </w:rPr>
        <w:t>&lt;end of the change&gt;</w:t>
      </w:r>
    </w:p>
    <w:p>
      <w:pPr>
        <w:tabs>
          <w:tab w:val="left" w:pos="1920"/>
        </w:tabs>
        <w:rPr>
          <w:i/>
          <w:color w:val="0000FF"/>
          <w:lang w:eastAsia="zh-CN"/>
        </w:rPr>
      </w:pPr>
    </w:p>
    <w:p>
      <w:pPr>
        <w:tabs>
          <w:tab w:val="left" w:pos="1920"/>
        </w:tabs>
      </w:pPr>
    </w:p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6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ichie Leo (ZTE)">
    <w15:presenceInfo w15:providerId="None" w15:userId="Richie Leo (ZT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291D"/>
    <w:rsid w:val="00022E4A"/>
    <w:rsid w:val="00024A5F"/>
    <w:rsid w:val="000379D6"/>
    <w:rsid w:val="000526D6"/>
    <w:rsid w:val="00067457"/>
    <w:rsid w:val="000A6394"/>
    <w:rsid w:val="000B7FED"/>
    <w:rsid w:val="000C038A"/>
    <w:rsid w:val="000C6598"/>
    <w:rsid w:val="000E35AC"/>
    <w:rsid w:val="00114BD8"/>
    <w:rsid w:val="00145D43"/>
    <w:rsid w:val="00150CBD"/>
    <w:rsid w:val="00156AB8"/>
    <w:rsid w:val="0016357D"/>
    <w:rsid w:val="00164CF5"/>
    <w:rsid w:val="00180706"/>
    <w:rsid w:val="00184E30"/>
    <w:rsid w:val="00191526"/>
    <w:rsid w:val="00192C46"/>
    <w:rsid w:val="001A08B3"/>
    <w:rsid w:val="001A2397"/>
    <w:rsid w:val="001A7B60"/>
    <w:rsid w:val="001B30EF"/>
    <w:rsid w:val="001B52F0"/>
    <w:rsid w:val="001B7A65"/>
    <w:rsid w:val="001D3F16"/>
    <w:rsid w:val="001E41F3"/>
    <w:rsid w:val="00205362"/>
    <w:rsid w:val="0021150C"/>
    <w:rsid w:val="0021403C"/>
    <w:rsid w:val="002577A0"/>
    <w:rsid w:val="0026004D"/>
    <w:rsid w:val="002640DD"/>
    <w:rsid w:val="00275D12"/>
    <w:rsid w:val="00284FEB"/>
    <w:rsid w:val="002860C4"/>
    <w:rsid w:val="002A23B3"/>
    <w:rsid w:val="002B5741"/>
    <w:rsid w:val="002D1809"/>
    <w:rsid w:val="00300CDC"/>
    <w:rsid w:val="00305409"/>
    <w:rsid w:val="00306732"/>
    <w:rsid w:val="00354203"/>
    <w:rsid w:val="003609EF"/>
    <w:rsid w:val="0036231A"/>
    <w:rsid w:val="003745AA"/>
    <w:rsid w:val="00374DD4"/>
    <w:rsid w:val="003867BD"/>
    <w:rsid w:val="00390D56"/>
    <w:rsid w:val="003D2888"/>
    <w:rsid w:val="003E1A36"/>
    <w:rsid w:val="003E3693"/>
    <w:rsid w:val="00401623"/>
    <w:rsid w:val="00410371"/>
    <w:rsid w:val="004242F1"/>
    <w:rsid w:val="004466D7"/>
    <w:rsid w:val="0045432A"/>
    <w:rsid w:val="004A25C5"/>
    <w:rsid w:val="004B2444"/>
    <w:rsid w:val="004B75B7"/>
    <w:rsid w:val="004D170E"/>
    <w:rsid w:val="004D35B9"/>
    <w:rsid w:val="00513C65"/>
    <w:rsid w:val="0051580D"/>
    <w:rsid w:val="0053520B"/>
    <w:rsid w:val="00547111"/>
    <w:rsid w:val="00592D74"/>
    <w:rsid w:val="005E2C44"/>
    <w:rsid w:val="00621188"/>
    <w:rsid w:val="006257ED"/>
    <w:rsid w:val="00632F52"/>
    <w:rsid w:val="006564CD"/>
    <w:rsid w:val="00675848"/>
    <w:rsid w:val="00693CE5"/>
    <w:rsid w:val="00695808"/>
    <w:rsid w:val="006971B1"/>
    <w:rsid w:val="006A166B"/>
    <w:rsid w:val="006A43E7"/>
    <w:rsid w:val="006B46FB"/>
    <w:rsid w:val="006E1744"/>
    <w:rsid w:val="006E21FB"/>
    <w:rsid w:val="006F596A"/>
    <w:rsid w:val="007039F6"/>
    <w:rsid w:val="00727029"/>
    <w:rsid w:val="007574D2"/>
    <w:rsid w:val="007604BF"/>
    <w:rsid w:val="00764D48"/>
    <w:rsid w:val="00765B45"/>
    <w:rsid w:val="00773A07"/>
    <w:rsid w:val="00774378"/>
    <w:rsid w:val="00784554"/>
    <w:rsid w:val="0078649F"/>
    <w:rsid w:val="00790EFC"/>
    <w:rsid w:val="00792342"/>
    <w:rsid w:val="007977A8"/>
    <w:rsid w:val="007B512A"/>
    <w:rsid w:val="007C2097"/>
    <w:rsid w:val="007C6570"/>
    <w:rsid w:val="007D4940"/>
    <w:rsid w:val="007D6A07"/>
    <w:rsid w:val="007F7259"/>
    <w:rsid w:val="008040A8"/>
    <w:rsid w:val="0082459A"/>
    <w:rsid w:val="008279FA"/>
    <w:rsid w:val="00832AA4"/>
    <w:rsid w:val="008626E7"/>
    <w:rsid w:val="00870EE7"/>
    <w:rsid w:val="008A45A6"/>
    <w:rsid w:val="008D19BC"/>
    <w:rsid w:val="008F686C"/>
    <w:rsid w:val="009148DE"/>
    <w:rsid w:val="0095473C"/>
    <w:rsid w:val="009777D9"/>
    <w:rsid w:val="00991B88"/>
    <w:rsid w:val="009A5753"/>
    <w:rsid w:val="009A579D"/>
    <w:rsid w:val="009A73E2"/>
    <w:rsid w:val="009B428A"/>
    <w:rsid w:val="009E1374"/>
    <w:rsid w:val="009E3297"/>
    <w:rsid w:val="009F734F"/>
    <w:rsid w:val="00A246B6"/>
    <w:rsid w:val="00A27CFF"/>
    <w:rsid w:val="00A47E70"/>
    <w:rsid w:val="00A50CF0"/>
    <w:rsid w:val="00A66EA3"/>
    <w:rsid w:val="00A70B16"/>
    <w:rsid w:val="00A7114B"/>
    <w:rsid w:val="00A7671C"/>
    <w:rsid w:val="00AA2CBC"/>
    <w:rsid w:val="00AA70DA"/>
    <w:rsid w:val="00AC5820"/>
    <w:rsid w:val="00AD1CD8"/>
    <w:rsid w:val="00AE14D8"/>
    <w:rsid w:val="00AE4C83"/>
    <w:rsid w:val="00B258BB"/>
    <w:rsid w:val="00B319B9"/>
    <w:rsid w:val="00B54F41"/>
    <w:rsid w:val="00B67B97"/>
    <w:rsid w:val="00B968C8"/>
    <w:rsid w:val="00BA3EC5"/>
    <w:rsid w:val="00BA51D9"/>
    <w:rsid w:val="00BB5DFC"/>
    <w:rsid w:val="00BC09D3"/>
    <w:rsid w:val="00BD279D"/>
    <w:rsid w:val="00BD6BB8"/>
    <w:rsid w:val="00BE61E6"/>
    <w:rsid w:val="00C071FB"/>
    <w:rsid w:val="00C23F55"/>
    <w:rsid w:val="00C24659"/>
    <w:rsid w:val="00C356F9"/>
    <w:rsid w:val="00C36674"/>
    <w:rsid w:val="00C434B4"/>
    <w:rsid w:val="00C615E2"/>
    <w:rsid w:val="00C66BA2"/>
    <w:rsid w:val="00C77A62"/>
    <w:rsid w:val="00C95985"/>
    <w:rsid w:val="00CB05E1"/>
    <w:rsid w:val="00CC5026"/>
    <w:rsid w:val="00CC68D0"/>
    <w:rsid w:val="00CE1117"/>
    <w:rsid w:val="00CE71EC"/>
    <w:rsid w:val="00CF6EE4"/>
    <w:rsid w:val="00D03F9A"/>
    <w:rsid w:val="00D06D51"/>
    <w:rsid w:val="00D1258E"/>
    <w:rsid w:val="00D24991"/>
    <w:rsid w:val="00D434C6"/>
    <w:rsid w:val="00D50255"/>
    <w:rsid w:val="00D66F5E"/>
    <w:rsid w:val="00D7725A"/>
    <w:rsid w:val="00DA2592"/>
    <w:rsid w:val="00DD1A1B"/>
    <w:rsid w:val="00DD7320"/>
    <w:rsid w:val="00DE34CF"/>
    <w:rsid w:val="00DE63FB"/>
    <w:rsid w:val="00DF0712"/>
    <w:rsid w:val="00E0108E"/>
    <w:rsid w:val="00E13F3D"/>
    <w:rsid w:val="00E302CA"/>
    <w:rsid w:val="00E34898"/>
    <w:rsid w:val="00E5134E"/>
    <w:rsid w:val="00E76B2F"/>
    <w:rsid w:val="00E93BB6"/>
    <w:rsid w:val="00EB09B7"/>
    <w:rsid w:val="00ED4362"/>
    <w:rsid w:val="00EE7D7C"/>
    <w:rsid w:val="00F21DFB"/>
    <w:rsid w:val="00F25D98"/>
    <w:rsid w:val="00F300FB"/>
    <w:rsid w:val="00F44B3D"/>
    <w:rsid w:val="00F61C4D"/>
    <w:rsid w:val="00F61E1F"/>
    <w:rsid w:val="00F6401B"/>
    <w:rsid w:val="00F6666F"/>
    <w:rsid w:val="00FB6386"/>
    <w:rsid w:val="00FC046B"/>
    <w:rsid w:val="00FE3611"/>
    <w:rsid w:val="011B4A8D"/>
    <w:rsid w:val="0337403C"/>
    <w:rsid w:val="03A17E5D"/>
    <w:rsid w:val="03CF6216"/>
    <w:rsid w:val="06502056"/>
    <w:rsid w:val="07382D93"/>
    <w:rsid w:val="0BD2637C"/>
    <w:rsid w:val="0EC40E08"/>
    <w:rsid w:val="0EDE344F"/>
    <w:rsid w:val="14F113A9"/>
    <w:rsid w:val="1A003D9E"/>
    <w:rsid w:val="1B3D1408"/>
    <w:rsid w:val="1BA23C14"/>
    <w:rsid w:val="22424A85"/>
    <w:rsid w:val="227434BA"/>
    <w:rsid w:val="27586709"/>
    <w:rsid w:val="27975465"/>
    <w:rsid w:val="298D0175"/>
    <w:rsid w:val="2A9052C4"/>
    <w:rsid w:val="2CF73A08"/>
    <w:rsid w:val="306A66EB"/>
    <w:rsid w:val="343A645B"/>
    <w:rsid w:val="36B0344B"/>
    <w:rsid w:val="39E84AA9"/>
    <w:rsid w:val="39EB3446"/>
    <w:rsid w:val="3E686C5A"/>
    <w:rsid w:val="3F627A1B"/>
    <w:rsid w:val="3FB71173"/>
    <w:rsid w:val="404C070C"/>
    <w:rsid w:val="460A7131"/>
    <w:rsid w:val="46635CC8"/>
    <w:rsid w:val="4A185BDF"/>
    <w:rsid w:val="4A5F0B07"/>
    <w:rsid w:val="4D9E7DF9"/>
    <w:rsid w:val="4FDC693C"/>
    <w:rsid w:val="51BD1AA8"/>
    <w:rsid w:val="552D6047"/>
    <w:rsid w:val="562E66F9"/>
    <w:rsid w:val="569432D2"/>
    <w:rsid w:val="569D7A18"/>
    <w:rsid w:val="586405B0"/>
    <w:rsid w:val="59225598"/>
    <w:rsid w:val="5CFE39C0"/>
    <w:rsid w:val="5D063A34"/>
    <w:rsid w:val="5D5A3FC9"/>
    <w:rsid w:val="5DCA2F88"/>
    <w:rsid w:val="61092D41"/>
    <w:rsid w:val="622C332F"/>
    <w:rsid w:val="6713574F"/>
    <w:rsid w:val="69F06389"/>
    <w:rsid w:val="6A990705"/>
    <w:rsid w:val="6B7041D4"/>
    <w:rsid w:val="74E07F02"/>
    <w:rsid w:val="75CC0637"/>
    <w:rsid w:val="77793C6F"/>
    <w:rsid w:val="796C2DDF"/>
    <w:rsid w:val="7B391A4A"/>
    <w:rsid w:val="7D95705D"/>
    <w:rsid w:val="7DBA48EA"/>
    <w:rsid w:val="7E12214C"/>
    <w:rsid w:val="7E5F63A8"/>
    <w:rsid w:val="7EAA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9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9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Body Text"/>
    <w:basedOn w:val="1"/>
    <w:link w:val="85"/>
    <w:unhideWhenUsed/>
    <w:qFormat/>
    <w:uiPriority w:val="0"/>
    <w:pPr>
      <w:spacing w:after="120"/>
    </w:pPr>
  </w:style>
  <w:style w:type="paragraph" w:styleId="32">
    <w:name w:val="List Bullet 5"/>
    <w:basedOn w:val="26"/>
    <w:qFormat/>
    <w:uiPriority w:val="0"/>
    <w:pPr>
      <w:ind w:left="1702"/>
    </w:pPr>
  </w:style>
  <w:style w:type="paragraph" w:styleId="33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4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5">
    <w:name w:val="footer"/>
    <w:basedOn w:val="36"/>
    <w:qFormat/>
    <w:uiPriority w:val="0"/>
    <w:pPr>
      <w:jc w:val="center"/>
    </w:pPr>
    <w:rPr>
      <w:i/>
    </w:rPr>
  </w:style>
  <w:style w:type="paragraph" w:styleId="36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7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8">
    <w:name w:val="List 5"/>
    <w:basedOn w:val="39"/>
    <w:qFormat/>
    <w:uiPriority w:val="0"/>
    <w:pPr>
      <w:ind w:left="1702"/>
    </w:pPr>
  </w:style>
  <w:style w:type="paragraph" w:styleId="39">
    <w:name w:val="List 4"/>
    <w:basedOn w:val="12"/>
    <w:qFormat/>
    <w:uiPriority w:val="0"/>
    <w:pPr>
      <w:ind w:left="1418"/>
    </w:pPr>
  </w:style>
  <w:style w:type="paragraph" w:styleId="40">
    <w:name w:val="toc 9"/>
    <w:basedOn w:val="33"/>
    <w:next w:val="1"/>
    <w:semiHidden/>
    <w:qFormat/>
    <w:uiPriority w:val="0"/>
    <w:pPr>
      <w:ind w:left="1418" w:hanging="1418"/>
    </w:pPr>
  </w:style>
  <w:style w:type="paragraph" w:styleId="41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2">
    <w:name w:val="index 2"/>
    <w:basedOn w:val="41"/>
    <w:next w:val="1"/>
    <w:semiHidden/>
    <w:qFormat/>
    <w:uiPriority w:val="0"/>
    <w:pPr>
      <w:ind w:left="284"/>
    </w:p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table" w:styleId="49">
    <w:name w:val="Table Grid"/>
    <w:basedOn w:val="48"/>
    <w:qFormat/>
    <w:uiPriority w:val="39"/>
    <w:rPr>
      <w:rFonts w:asciiTheme="minorHAnsi" w:hAnsiTheme="minorHAnsi" w:eastAsiaTheme="minorEastAsia" w:cstheme="minorBidi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90"/>
    <w:qFormat/>
    <w:uiPriority w:val="0"/>
    <w:rPr>
      <w:b/>
    </w:rPr>
  </w:style>
  <w:style w:type="paragraph" w:customStyle="1" w:styleId="54">
    <w:name w:val="TAC"/>
    <w:basedOn w:val="55"/>
    <w:link w:val="87"/>
    <w:qFormat/>
    <w:uiPriority w:val="0"/>
    <w:pPr>
      <w:jc w:val="center"/>
    </w:pPr>
  </w:style>
  <w:style w:type="paragraph" w:customStyle="1" w:styleId="55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94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link w:val="8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link w:val="93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link w:val="89"/>
    <w:qFormat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1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5"/>
    <w:qFormat/>
    <w:uiPriority w:val="0"/>
  </w:style>
  <w:style w:type="paragraph" w:customStyle="1" w:styleId="78">
    <w:name w:val="B2"/>
    <w:basedOn w:val="13"/>
    <w:qFormat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9"/>
    <w:qFormat/>
    <w:uiPriority w:val="0"/>
  </w:style>
  <w:style w:type="paragraph" w:customStyle="1" w:styleId="81">
    <w:name w:val="B5"/>
    <w:basedOn w:val="38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link w:val="86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5">
    <w:name w:val="Body Text Char"/>
    <w:basedOn w:val="43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86">
    <w:name w:val="CR Cover Page Char"/>
    <w:link w:val="83"/>
    <w:qFormat/>
    <w:uiPriority w:val="0"/>
    <w:rPr>
      <w:rFonts w:ascii="Arial" w:hAnsi="Arial"/>
      <w:lang w:val="en-GB" w:eastAsia="en-US"/>
    </w:rPr>
  </w:style>
  <w:style w:type="character" w:customStyle="1" w:styleId="87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8">
    <w:name w:val="TH Char"/>
    <w:link w:val="57"/>
    <w:qFormat/>
    <w:locked/>
    <w:uiPriority w:val="0"/>
    <w:rPr>
      <w:rFonts w:ascii="Arial" w:hAnsi="Arial"/>
      <w:b/>
      <w:lang w:val="en-GB" w:eastAsia="en-US"/>
    </w:rPr>
  </w:style>
  <w:style w:type="character" w:customStyle="1" w:styleId="89">
    <w:name w:val="TAN Char"/>
    <w:basedOn w:val="43"/>
    <w:link w:val="68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0">
    <w:name w:val="TAH Car"/>
    <w:link w:val="53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91">
    <w:name w:val="TAL C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93">
    <w:name w:val="NO Char"/>
    <w:link w:val="58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TF Char"/>
    <w:link w:val="56"/>
    <w:qFormat/>
    <w:uiPriority w:val="0"/>
    <w:rPr>
      <w:rFonts w:ascii="Arial" w:hAnsi="Arial"/>
      <w:b/>
      <w:lang w:val="en-GB" w:eastAsia="en-US"/>
    </w:rPr>
  </w:style>
  <w:style w:type="character" w:customStyle="1" w:styleId="95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Heading 3 Char"/>
    <w:basedOn w:val="43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7">
    <w:name w:val="Heading 4 Char"/>
    <w:basedOn w:val="43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8">
    <w:name w:val="Heading 5 Char"/>
    <w:basedOn w:val="43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99">
    <w:name w:val="Heading 6 Char"/>
    <w:basedOn w:val="43"/>
    <w:link w:val="7"/>
    <w:qFormat/>
    <w:uiPriority w:val="0"/>
    <w:rPr>
      <w:rFonts w:ascii="Arial" w:hAnsi="Arial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A88C3DD-B4B6-4EE0-A1BD-F75C86EA9D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1794</Words>
  <Characters>10227</Characters>
  <Lines>85</Lines>
  <Paragraphs>23</Paragraphs>
  <TotalTime>6</TotalTime>
  <ScaleCrop>false</ScaleCrop>
  <LinksUpToDate>false</LinksUpToDate>
  <CharactersWithSpaces>11998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2019-08-14T20:04:00Z</dcterms:created>
  <dc:creator>Aijun CAO</dc:creator>
  <cp:lastModifiedBy>Richie Leo (ZTE)</cp:lastModifiedBy>
  <cp:lastPrinted>2411-12-31T07:00:00Z</cp:lastPrinted>
  <dcterms:modified xsi:type="dcterms:W3CDTF">2019-11-19T02:10:28Z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1554965742</vt:lpwstr>
  </property>
  <property fmtid="{D5CDD505-2E9C-101B-9397-08002B2CF9AE}" pid="25" name="KSOProductBuildVer">
    <vt:lpwstr>2052-10.8.2.7027</vt:lpwstr>
  </property>
</Properties>
</file>